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2018/180 vom 4. September 2019</w:t>
      </w:r>
    </w:p>
    <w:p>
      <w:r>
        <w:t>Sg Versicherungsgericht, 2019-09-04, DE</w:t>
      </w:r>
    </w:p>
    <w:p>
      <w:r>
        <w:rPr>
          <w:b/>
        </w:rPr>
        <w:t xml:space="preserve">Quelle: </w:t>
      </w:r>
      <w:r>
        <w:t>https://mcp.opencaselaw.ch/entscheid/sg_publikationen_IV 2018_180</w:t>
      </w:r>
    </w:p>
    <w:p>
      <w:r>
        <w:t>FR: SG_VERSICHERUNGSGERICHT IV 2018/180 du 4 septembre 2019</w:t>
      </w:r>
    </w:p>
    <w:p>
      <w:r>
        <w:t>IT: SG_VERSICHERUNGSGERICHT IV 2018/180 del 4 settembre 2019</w:t>
      </w:r>
    </w:p>
    <w:p>
      <w:pPr>
        <w:pStyle w:val="Heading2"/>
      </w:pPr>
      <w:r>
        <w:t>Regeste</w:t>
      </w:r>
    </w:p>
    <w:p>
      <w:r>
        <w:t>Art. 15 ff. IVG. Anspruch auf berufliche Massnahmen wegen fehlender Eingliederungsbereitschaft verneint. Art. 28 IVG. Art. 7 ATSG. Rentenanspruch. Beweiskraft gutachterlicher Beurteilung. Keine rentenbegründende Invalidität (Entscheid des Versicherungsgerichts des Kantons St. Gallen vom 4. September 2019, IV 2018/180).</w:t>
      </w:r>
    </w:p>
    <w:p>
      <w:pPr>
        <w:pStyle w:val="Heading2"/>
      </w:pPr>
      <w:r>
        <w:t>Erwägungen</w:t>
      </w:r>
    </w:p>
    <w:p>
      <w:r>
        <w:rPr>
          <w:b/>
        </w:rPr>
        <w:t>E. 1</w:t>
      </w:r>
    </w:p>
    <w:p>
      <w:r>
        <w:t>Zunächst zu prüfen ist der Anspruch auf berufliche Massnahmen (Art. 15 ff. des Bundesgesetzes über die Invalidenversicherung [IVG; SR 831.20]).</w:t>
      </w:r>
    </w:p>
    <w:p>
      <w:r>
        <w:rPr>
          <w:b/>
        </w:rPr>
        <w:t>E. 1.1</w:t>
      </w:r>
    </w:p>
    <w:p>
      <w:r>
        <w:t>Die Beschwerdegegnerin wies in der Verfügung vom 12. April 2018 einen Anspruch auf berufliche Massnahmen mit der Begründung ab, es liege kein Gesundheitsschaden vor, der sich auf die Arbeitsfähigkeit auswirke (IV-act. 92). In der Beschwerdeantwort ergänzte sie, dass dem Beschwerdeführer zudem die Eingliederungsbereitschaft fehle (act. G 3).</w:t>
      </w:r>
    </w:p>
    <w:p>
      <w:r>
        <w:rPr>
          <w:b/>
        </w:rPr>
        <w:t>E. 1.2</w:t>
      </w:r>
    </w:p>
    <w:p>
      <w:r>
        <w:t>Nach Art. 8 Abs. 1 IVG haben invalide und von einer Invalidität bedrohte Versicherte (Art. 8 des Bundesgesetzes über den Allgemeinen Teil des Sozialversicherungsrechts [ATSG; SR 830.1]) unter anderem Anspruch auf Eingliederungsmassnahmen, wenn der Eingliederungswille bzw. eine subjektive Eingliederungsfähigkeit gegeben ist (Urteil des Bundesgerichts vom 21. Juni 2017, 9C_59/2017, E. 3.1 mit Hinweis).</w:t>
      </w:r>
    </w:p>
    <w:p>
      <w:r>
        <w:rPr>
          <w:b/>
        </w:rPr>
        <w:t>E. 1.3</w:t>
      </w:r>
    </w:p>
    <w:p>
      <w:r>
        <w:t>Der Beschwerdeführer hält sich für vollständig arbeitsunfähig (siehe etwa Einwand vom 24. Januar 2018, IV-act. 84-2). Gegenüber dem Gutachter betonte er, dass seine Arbeitsfähigkeit vor allem durch die fehlende Motivation zum Arbeiten eingeschränkt sei (IV-act. 76-8). Des Weiteren ergeben sich auch aus der ausführlichen Stellungnahme des Beschwerdeführers zur gutachterlichen Beurteilung (act. G 1.4 f.) keine Hinweise auf eine ernsthafte Eingliederungsmotivation. In damit zu vereinbarender Weise äusserte sich der Beschwerdeführer sowohl im Einwand vom 24. Januar 2018 (IV-act. 84) als auch in den Rechtsschriften im Beschwerdeverfahren ausschliesslich zum Rentenanspruch. Substantiierte Ausführungen zum Anspruch auf berufliche Massnahmen fehlen jedenfalls gänzlich. In Anbetracht des fehlenden Rentenanspruchs (siehe hierzu nachstehende E. 4) hatte die Beschwerdegegnerin den Grundsatz "Eingliederung vor Rente" nicht zu beachten. Es ist daher nicht zu beanstanden, dass die Beschwerdegegnerin das Gesuch des Beschwerdeführers um berufliche Massnahmen abwies.</w:t>
      </w:r>
    </w:p>
    <w:p>
      <w:r>
        <w:rPr>
          <w:b/>
        </w:rPr>
        <w:t>E. 2</w:t>
      </w:r>
    </w:p>
    <w:p>
      <w:r>
        <w:t>Zu prüfen bleibt der Anspruch des Beschwerdeführers auf eine Rente.</w:t>
      </w:r>
    </w:p>
    <w:p>
      <w:r>
        <w:rPr>
          <w:b/>
        </w:rPr>
        <w:t>E. 2.1</w:t>
      </w:r>
    </w:p>
    <w:p>
      <w:r>
        <w:t>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2.3</w:t>
      </w:r>
    </w:p>
    <w:p>
      <w:r>
        <w:t>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Zwischen den Parteien umstritten und nachfolgend zu prüfen ist die Frage, ob der medizinische Sachverhalt spruchreif abgeklärt worden ist. Die Beschwerdegegnerin stützt sich in der angefochtenen Rentenverfügung vom 12. April 2018 auf die Einschätzung von Dr. G.___ (siehe zum psychiatrischen Gutachten vom 27. November 2017 IV-act. 76 und zur ergänzenden Stellungnahme vom 22. März 2018 IV-act. 89). Nach Auffassung des Beschwerdeführers sind diese mit verschiedenen Mängeln behaftet (act. G 1 und act. G 1.4 f.).</w:t>
      </w:r>
    </w:p>
    <w:p>
      <w:r>
        <w:rPr>
          <w:b/>
        </w:rPr>
        <w:t>E. 3.1</w:t>
      </w:r>
    </w:p>
    <w:p>
      <w:r>
        <w:t>Gegen die gutachterliche Beurteilung führt der Beschwerdeführer zunächst die davon abweichende Einschätzung der behandelnden med. pract. E.___ ins Feld.</w:t>
      </w:r>
    </w:p>
    <w:p>
      <w:r>
        <w:rPr>
          <w:b/>
        </w:rPr>
        <w:t>E. 3.1.1</w:t>
      </w:r>
    </w:p>
    <w:p>
      <w:r>
        <w:t>Ein den Beweisanforderungen grundsätzlich genügendes medizinisches Gutachten (BGE 125 V 351 f. E. 3a und b) kann nicht in Frage gestellt werden und Anlass zu weiteren Abklärungen bieten, wenn und sobald die behandelnden medizinischen Fachpersonen nachher zu einer unterschiedlichen Beurteilung gelangen oder an vorgängig geäusserten abweichenden Auffassungen festhalten. Anders verhält es sich nur, wenn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5. März 2009, 8C_694/2008, E. 5.1.1).</w:t>
      </w:r>
    </w:p>
    <w:p>
      <w:r>
        <w:rPr>
          <w:b/>
        </w:rPr>
        <w:t>E. 3.1.2</w:t>
      </w:r>
    </w:p>
    <w:p>
      <w:r>
        <w:t>Die Einschätzung eines psychischen Krankheitsbilds und dessen allfällige Auswirkungen auf die Arbeitsfähigkeit muss sich - mangels zuverlässiger bzw. bewährter Messmethodik - zwangsläufig zunächst auf die Angaben und das Verhalten der versicherten Person stützen. Um Beweiskraft erlangen zu können, muss eine objektive fachmedizinische Beurteilung insbesondere diesem Umstand Rechnung tragen. Deshalb ist eine umfassende Prüfung der Konsistenz und der Plausibilität der Leidensschilderung sowie -präsentation für die Gewährleistung einer möglichst objektiven fachmedizinischen Beurteilung der gesundheitlichen Beeinträchtigung der Arbeitsfähigkeit von zentraler Bedeutung. Gemäss Qualitätsleitlinien für versicherungspsychiatrische Gutachten der Schweizerischen Gesellschaft für Psychiatrie und Psychotherapie SGPP (3. vollständig überarbeitete und ergänzte Auflage, 16. Juni 2016) ist eine Stellungnahme zur Authentizität von Beschwerden, von präsentierten Symptomen und von Leistungseinschränkungen denn auch obligatorischer Bestandteil eines versicherungspsychiatrischen Gutachtens.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Hierzu können z.B. eine auffallend diffuse Beschwerdeschilderung, die fehlende Angabe von Details oder Beispielen zu den Beschwerden auch auf Nachfrage, Widersprüchlichkeiten innerhalb der Anamnese, zwischen Anamnese und Verhalten, zu Auskünften von Dritten, zwischen Anamneseverlauf sowie zwischen Verhalten und Testsituation gehören (Leitlinien, S. 29).</w:t>
      </w:r>
    </w:p>
    <w:p>
      <w:r>
        <w:rPr>
          <w:b/>
        </w:rPr>
        <w:t>E. 3.1.3</w:t>
      </w:r>
    </w:p>
    <w:p>
      <w:r>
        <w:t>Bei der Stellungnahme von med. pract. E.___ fällt zunächst auf, dass mehrere Vorbringen aktenwidrig sind, so etwa bezüglich der Familienanamnese (IV-act. 86-1), die der Gutachter auch bezüglich des Vaters des Beschwerdeführers aussagekräftig erhob (IV-act. 76-6, IV-act. 76-10 Mitte und IV-act. 76-14; siehe auch IV-act. 89-3), und der Untersuchungsdauer (siehe hierzu nachstehende E. 3.3).</w:t>
      </w:r>
    </w:p>
    <w:p>
      <w:r>
        <w:rPr>
          <w:b/>
        </w:rPr>
        <w:t>E. 3.1.4</w:t>
      </w:r>
    </w:p>
    <w:p>
      <w:r>
        <w:t>Unklar bleibt, weshalb med. pract. E.___ die gutachterliche Beurteilung der Konzentrations- und Aufmerksamkeitsfähigkeit kritisiert, nachdem sowohl med. pract. D.___ die Aufmerksamkeit und Konzentration als "unauffällig" beschrieb (Bericht vom 13. Oktober 2016, IV-act. 56-3) als auch sie selbst im Bericht vom 19. Juni 2017 festhielt, "seine Konzentrationsfähigkeit sowie Aufmerksamkeit ist unauffällig, seine Merkfähigkeit brillant" (IV-act. 62-4). Bezüglich der als "brillant" bezeichneten Merkfähigkeit bestehen im Übrigen insoweit Zweifel, als der Beschwerdeführer gegenüber Dr. G.___ angab, dass er den Namen der behandelnden Psychotherapeutin nicht zu benennen vermöge (IV-act. 76-9).</w:t>
      </w:r>
    </w:p>
    <w:p>
      <w:r>
        <w:rPr>
          <w:b/>
        </w:rPr>
        <w:t>E. 3.2</w:t>
      </w:r>
    </w:p>
    <w:p>
      <w:r>
        <w:t>Hinzu kommt, dass die Beurteilung von med. pract. E.___ nicht auf einer (erkennbaren) von den subjektiven Angaben des Beschwerdeführers unabhängigen Konsistenz- und Ressourcenprüfung beruht, sondern ausdrücklich "aus therapeutischer Sicht" erfolgte (IV-act. 86-2 unten). In dieser steht die objektiv-kritische Prüfung der Leidensschilderungen und -präsentation - wenn überhaupt - im Hintergrund, da ein solches Hinterfragen mit der engen Vertrauensbeziehung zwischen psychotherapeutisch behandelnder Fachperson und Patient oder Patientin im Konflikt steht.</w:t>
      </w:r>
    </w:p>
    <w:p>
      <w:r>
        <w:rPr>
          <w:b/>
        </w:rPr>
        <w:t>E. 3.3</w:t>
      </w:r>
    </w:p>
    <w:p>
      <w:r>
        <w:t>Die zunächst vom Beschwerdeführer im Einwand vom 24. Januar 2018 vorgebrachte - von med. pract. E.___ in der Stellungnahme vom 27. Februar 2018 vorbehaltlos übernommene (IV-act. 86-1) - Behauptung, "der Gutachter hat mich 31 Minuten gesehen" (IV-act. 84), bestritt der Gutachter glaubhaft und wies auf die von ihm dokumentierte Untersuchungsdauer von 9:00 bis 10:15 Uhr hin (IV-act. 93-18). Der Beschwerdeführer relativierte denn auch seine Erstaussage zur Untersuchungsdauer später im Sinn der gutachterlichen Zeitangabe (act. G 1.5). Die Kritik von med. pract. E.___ bezüglich der Untersuchungsdauer (IV-act. 86-1) erweist sich damit als unzutreffend.</w:t>
      </w:r>
    </w:p>
    <w:p>
      <w:r>
        <w:rPr>
          <w:b/>
        </w:rPr>
        <w:t>E. 3.4</w:t>
      </w:r>
    </w:p>
    <w:p>
      <w:r>
        <w:t>Entgegen der Sichtweise des Beschwerdeführers ist auch nicht zu beanstanden, dass die Beschwerdegegnerin Argumente gegen die Diagnose einer Autismusstörung aufführt, welche die Zeit vor der IV-Anmeldung betreffen (act. G 5, S. 2 oben). Denn med. pract. E.___ geht gerade von einer seit der frühen Kindheit bestehenden Autismus-Spektrum-Störung ("vor dem dritten Lebensjahr") aus (IV-act. 62-3).</w:t>
      </w:r>
    </w:p>
    <w:p>
      <w:r>
        <w:rPr>
          <w:b/>
        </w:rPr>
        <w:t>E. 3.5</w:t>
      </w:r>
    </w:p>
    <w:p>
      <w:r>
        <w:t>Zu beachten ist ausserdem, dass Dr. G.___ in ausführlicher Diskussion der Angaben des Beschwerdeführers darlegte, dass keine autismusrelevanten Auffälligkeiten vorliegen, die eine entsprechende Diagnose bzw. eine krankheitsbedingte Arbeitsunfähigkeit begründen würden (IV-act. 76-15 f. und IV-act. 76-17 f.). So war der Beschwerdeführer in der Vergangenheit in der Lage partnerschaftliche Beziehungen nicht nur aufzunehmen, sondern teilweise während längerer Zeit aufrecht zu erhalten (IV-act. 76-7 oben; zu den Angaben des Beschwerdeführers zum "Kollegenkreis" siehe IV-act. 76-9). Des Weiteren verneinte der Gutachter eine geringe Flexibilität bei Abweichen von erwarteten Ereignissen oder ungewöhnlich intensive und einseitige Interessen plausibel mit Hinweis auf die Lektüre (Science-Fiction und Krimis, IV-act. 76-9) und die Beschäftigung mit Videospielen (zum regelmässigen "Computer spielen" siehe etwa IV-act. 86-3). Hinzu kommt, dass der Beschwerdeführer offenbar "World of Warcraft" spielt (siehe zu den entsprechenden, am 12. März 2018 getätigten Auslagen für "Digital Goods" für das Spiel "World of Warcraft" act. G 5.3). World of Warcraft zählt zu den weltweit beliebtesten Multiplayer-Online-Rollenspielen (&lt;https://de.wikipedia.org/wiki/World_of_Warcraft&gt;, abgerufen am 14. Au­gust 2019). Bei solchen Rollenspielen stehen soziale Interaktionen im Vordergrund. Ein stimulierender Reiz besteht gerade in der Gestaltung von Beziehungsmöglichkeiten zu anderen Figuren bzw. Mitspielern. Die Beschäftigung mit diesem Spiel deutet ferner auf eine Neigung des Beschwerdeführers hin, Interessen oder Tätigkeiten mit anderen Mitspielern zu teilen. Die Beschwerdegegnerin legte überdies überzeugend dar und es ist gerichtsnotorisch, dass regelmässiges mehrstündiges "Gamen" bei Jugendlichen und Erwachsenen weit verbreitet ist und dass ein zentraler Spassfaktor gerade die Anpassungsfähigkeit und spontane Reaktion auf unerwartete Situationen ist (act. G 3, III.B., Rz 3). Diese Beschäftigung spricht zudem gegen das Verharren in repetitiven Verhaltensmustern. Nicht zu überzeugen vermag die Ansicht von med. pract. E.___, der Umstand, dass der Beschwerdeführer im Kindesalter Schneckenhäuschen gesammelt und mit diesen über Stunden, manchmal auch den ganzen Tag gespielt habe, stelle ein autismusrelevantes Spezialinteresse dar. Denn es ist nicht ungewöhnlich, dass Kinder ein reges Interesse am Sammeln und Spielen mit Schneckenhäuschen oder vergleichbaren Gegenständen (wie etwa Muscheln, Steine oder Kastanien) zeigen und sich während längerer Zeit, auch wiederholt, damit zu beschäftigen vermögen. Im Übrigen hat Dr. G.___ die abweichende Auffassung von med. pract. E.___ eingehend diskutiert und seine Sichtweise einleuchtend dargelegt (IV-act. 89). Darauf kann verwiesen werden.</w:t>
      </w:r>
    </w:p>
    <w:p>
      <w:r>
        <w:rPr>
          <w:b/>
        </w:rPr>
        <w:t>E. 3.6</w:t>
      </w:r>
    </w:p>
    <w:p>
      <w:r>
        <w:t>Bei der Würdigung der gutachterlichen Beurteilung fällt ausserdem ins Gewicht, dass sie auf einer umfassenden persönlichen Untersuchung mit detaillierten Fragen u.a. zur gegenwärtigen sowie früheren Alltags- und Beziehungsgestaltung beruht, darin die ausführlichen Angaben des Beschwerdeführers zu seinem Leiden unvoreingenommen gewürdigt werden sowie dass sie eine gründliche objektive Konsistenz- und Ressourcenprüfung (siehe etwa bezüglich der guten Alltagsselbstständigkeit und dem ausreichend strukturieren Tagesablauf IV-act. 76-14; vgl. zu den Ressourcen auch IV-act. 76-16 Mitte sowie zur Konsistenz IV-act. 76-16 f.) mit Blick auf die Diagnose und die Arbeitsfähigkeit beinhaltet. Der Gutachter setzte sich ausserdem schlüssig mit den abweichenden Beurteilungen der medizinischen Fachpersonen auseinander (IV-act. 76-17 f. und IV-act. 89), denen keine objektiv relevanten Gesichtspunkte zu entnehmen sind, die im Rahmen der gutachterlichen Beurteilung ausser Acht geblieben wären. Ergänzend kann auf die zutreffenden Ausführungen der Beschwerdegegnerin verwiesen werden (act. G 3, III.B., Rz 3). Gestützt auf die gutachterliche Beurteilung ist davon auszugehen, dass der Beschwerdeführer spätestens seit dem Zeitpunkt des frühestmöglichen Rentenbeginns (1. September 2016; Art. 29 Abs. 1 IVG; zur Anmeldung vom 14. März 2016 siehe IV-act. 12) über eine 100%ige Arbeitsfähigkeit verfügt.</w:t>
      </w:r>
    </w:p>
    <w:p>
      <w:r>
        <w:rPr>
          <w:b/>
        </w:rPr>
        <w:t>E. 4</w:t>
      </w:r>
    </w:p>
    <w:p>
      <w:r>
        <w:t>Bei einer 100%igen Arbeitsfähigkeit für die angestammte sowie eine andere leidensangepasste Tätigkeit kann die konkrete Ermittlung der Vergleichseinkommen offenbleiben. Denn selbst wenn zugunsten des Beschwerdeführers ein Prozentvergleich (siehe zum Prozentvergleich etwa Urteil des Bundesgerichts vom 6. April 2016, 8C_628/2015, E. 5.3.1 mit Hinweisen) und der nach der bundesgerichtlichen Praxis höchstzulässige Tabellenlohnabzug von 25% (BGE 126 V 75) gewährt würde, resultierte ein nicht rentenbegründender Invaliditätsgrad von höchstens 25%.</w:t>
      </w:r>
    </w:p>
    <w:p>
      <w:r>
        <w:rPr>
          <w:b/>
        </w:rPr>
        <w:t>E. 5.1</w:t>
      </w:r>
    </w:p>
    <w:p>
      <w:r>
        <w:t>Nach dem Gesagten ist die Beschwerde abzuweisen.</w:t>
      </w:r>
    </w:p>
    <w:p>
      <w:r>
        <w:rPr>
          <w:b/>
        </w:rPr>
        <w:t>E. 5.2</w:t>
      </w:r>
    </w:p>
    <w:p>
      <w:r>
        <w:t>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Der vollständig unterliegende Beschwerdeführer hat die gesamten Gerichtskosten von Fr. 600.-- zu tragen. Zufolge gewährter unentgeltlicher Rechtspflege (act. G 6) ist er von der Bezahlung zu befreien.</w:t>
      </w:r>
    </w:p>
    <w:p>
      <w:r>
        <w:rPr>
          <w:b/>
        </w:rPr>
        <w:t>E. 5.3</w:t>
      </w:r>
    </w:p>
    <w:p>
      <w:r>
        <w:t>Ausgangsgemäss hat der Beschwerdeführer keinen Anspruch auf eine Parteientschädigung.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damalige Rechtsvertreter des Beschwerdeführers hat keine Kostennote eingereicht. In der vorliegend zu beurteilenden Angelegenheit erscheint mit Blick auf vergleichbare Fälle (vgl. etwa den Entscheid des Versicherungsgerichts vom 22. März 2019, IV 2018/205, E. 3.3) eine pauschale Parteientschädigung von Fr. 3'500.-- angemessen. Diese ist um einen Fünftel zu kürzen (Art. 31 Abs. 3 des Anwaltsgesetzes, sGS 963.70). Somit hat der Staat den Rechtsvertreter des Beschwerdeführers pauschal mit Fr. 2'800.-- (einschliesslich Barauslagen und Mehrwertsteuer) zu entschädigen.</w:t>
      </w:r>
    </w:p>
    <w:p>
      <w:r>
        <w:rPr>
          <w:b/>
        </w:rPr>
        <w:t>E. 5.4</w:t>
      </w:r>
    </w:p>
    <w:p>
      <w:r>
        <w:t>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